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rPr/>
      </w:pPr>
      <w:r w:rsidDel="00000000" w:rsidR="00000000" w:rsidRPr="00000000">
        <w:rPr/>
        <w:drawing>
          <wp:inline distB="114300" distT="114300" distL="114300" distR="114300">
            <wp:extent cx="5731200" cy="762000"/>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731200" cy="7620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240" w:before="24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3">
      <w:pPr>
        <w:pStyle w:val="Subtitle"/>
        <w:spacing w:after="0" w:before="0" w:line="240" w:lineRule="auto"/>
        <w:jc w:val="center"/>
        <w:rPr>
          <w:b w:val="1"/>
          <w:color w:val="000000"/>
        </w:rPr>
      </w:pPr>
      <w:bookmarkStart w:colFirst="0" w:colLast="0" w:name="_23udpubvf99w" w:id="0"/>
      <w:bookmarkEnd w:id="0"/>
      <w:r w:rsidDel="00000000" w:rsidR="00000000" w:rsidRPr="00000000">
        <w:rPr>
          <w:b w:val="1"/>
          <w:color w:val="000000"/>
          <w:rtl w:val="0"/>
        </w:rPr>
        <w:t xml:space="preserve">Under Armour Presenta el Curry 12 "What The Bay"  </w:t>
      </w:r>
    </w:p>
    <w:p w:rsidR="00000000" w:rsidDel="00000000" w:rsidP="00000000" w:rsidRDefault="00000000" w:rsidRPr="00000000" w14:paraId="00000004">
      <w:pPr>
        <w:pStyle w:val="Subtitle"/>
        <w:spacing w:after="0" w:before="0" w:line="240" w:lineRule="auto"/>
        <w:jc w:val="center"/>
        <w:rPr>
          <w:b w:val="1"/>
        </w:rPr>
      </w:pPr>
      <w:bookmarkStart w:colFirst="0" w:colLast="0" w:name="_z2tbc5ycyoj2" w:id="1"/>
      <w:bookmarkEnd w:id="1"/>
      <w:r w:rsidDel="00000000" w:rsidR="00000000" w:rsidRPr="00000000">
        <w:rPr>
          <w:b w:val="1"/>
          <w:color w:val="000000"/>
          <w:rtl w:val="0"/>
        </w:rPr>
        <w:t xml:space="preserve">Un tributo a la cultura y espíritu de la Bahía</w:t>
      </w:r>
      <w:r w:rsidDel="00000000" w:rsidR="00000000" w:rsidRPr="00000000">
        <w:rPr>
          <w:rtl w:val="0"/>
        </w:rPr>
      </w:r>
    </w:p>
    <w:p w:rsidR="00000000" w:rsidDel="00000000" w:rsidP="00000000" w:rsidRDefault="00000000" w:rsidRPr="00000000" w14:paraId="00000005">
      <w:pPr>
        <w:spacing w:after="240" w:before="240" w:line="240" w:lineRule="auto"/>
        <w:jc w:val="both"/>
        <w:rPr/>
      </w:pPr>
      <w:r w:rsidDel="00000000" w:rsidR="00000000" w:rsidRPr="00000000">
        <w:rPr>
          <w:b w:val="1"/>
          <w:rtl w:val="0"/>
        </w:rPr>
        <w:t xml:space="preserve">San Francisco, California – 14 de febrero de 2025</w:t>
      </w:r>
      <w:r w:rsidDel="00000000" w:rsidR="00000000" w:rsidRPr="00000000">
        <w:rPr>
          <w:rtl w:val="0"/>
        </w:rPr>
        <w:t xml:space="preserve"> – En el marco del All-Star Weekend, Under Armour y la superestrella de la NBA Stephen Curry revelan el nuevo </w:t>
      </w:r>
      <w:r w:rsidDel="00000000" w:rsidR="00000000" w:rsidRPr="00000000">
        <w:rPr>
          <w:b w:val="1"/>
          <w:rtl w:val="0"/>
        </w:rPr>
        <w:t xml:space="preserve">Curry 12 "What The Bay"</w:t>
      </w:r>
      <w:r w:rsidDel="00000000" w:rsidR="00000000" w:rsidRPr="00000000">
        <w:rPr>
          <w:rtl w:val="0"/>
        </w:rPr>
        <w:t xml:space="preserve">, un calzado de alto rendimiento inspirado en la energía vibrante y en la rica historia de la Bahía de San Francisco. Esta edición especial es un tributo a Oakland y sus alrededores, regiones fundamentales en la carrera de Curry y en la cultura del baloncesto.</w:t>
      </w:r>
      <w:r w:rsidDel="00000000" w:rsidR="00000000" w:rsidRPr="00000000">
        <w:drawing>
          <wp:anchor allowOverlap="1" behindDoc="0" distB="114300" distT="114300" distL="114300" distR="114300" hidden="0" layoutInCell="1" locked="0" relativeHeight="0" simplePos="0">
            <wp:simplePos x="0" y="0"/>
            <wp:positionH relativeFrom="column">
              <wp:posOffset>2085975</wp:posOffset>
            </wp:positionH>
            <wp:positionV relativeFrom="paragraph">
              <wp:posOffset>1104900</wp:posOffset>
            </wp:positionV>
            <wp:extent cx="2043113" cy="1455972"/>
            <wp:effectExtent b="0" l="0" r="0" t="0"/>
            <wp:wrapTopAndBottom distB="114300" distT="114300"/>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043113" cy="1455972"/>
                    </a:xfrm>
                    <a:prstGeom prst="rect"/>
                    <a:ln/>
                  </pic:spPr>
                </pic:pic>
              </a:graphicData>
            </a:graphic>
          </wp:anchor>
        </w:drawing>
      </w:r>
    </w:p>
    <w:p w:rsidR="00000000" w:rsidDel="00000000" w:rsidP="00000000" w:rsidRDefault="00000000" w:rsidRPr="00000000" w14:paraId="00000006">
      <w:pPr>
        <w:spacing w:after="240" w:before="240" w:line="240" w:lineRule="auto"/>
        <w:jc w:val="both"/>
        <w:rPr/>
      </w:pPr>
      <w:r w:rsidDel="00000000" w:rsidR="00000000" w:rsidRPr="00000000">
        <w:rPr>
          <w:rtl w:val="0"/>
        </w:rPr>
        <w:t xml:space="preserve">El </w:t>
      </w:r>
      <w:r w:rsidDel="00000000" w:rsidR="00000000" w:rsidRPr="00000000">
        <w:rPr>
          <w:b w:val="1"/>
          <w:rtl w:val="0"/>
        </w:rPr>
        <w:t xml:space="preserve">Curry 12 "What The Bay"</w:t>
      </w:r>
      <w:r w:rsidDel="00000000" w:rsidR="00000000" w:rsidRPr="00000000">
        <w:rPr>
          <w:rtl w:val="0"/>
        </w:rPr>
        <w:t xml:space="preserve"> encapsula la esencia de la comunidad que ha sido testigo del legado de Curry, con una combinación de colores y detalles que reflejan la diversidad y el dinamismo de la región. Cada elemento del diseño incorpora referencias a símbolos icónicos de la Bahía, creando una fusión única entre innovación y narrativa visual.</w:t>
      </w:r>
    </w:p>
    <w:p w:rsidR="00000000" w:rsidDel="00000000" w:rsidP="00000000" w:rsidRDefault="00000000" w:rsidRPr="00000000" w14:paraId="00000007">
      <w:pPr>
        <w:spacing w:after="240" w:before="240" w:line="240" w:lineRule="auto"/>
        <w:jc w:val="both"/>
        <w:rPr/>
      </w:pPr>
      <w:r w:rsidDel="00000000" w:rsidR="00000000" w:rsidRPr="00000000">
        <w:rPr>
          <w:rtl w:val="0"/>
        </w:rPr>
        <w:t xml:space="preserve">A nivel técnico, el calzado está diseñado para maximizar el rendimiento en la cancha. Cuenta con la avanzada amortiguación </w:t>
      </w:r>
      <w:r w:rsidDel="00000000" w:rsidR="00000000" w:rsidRPr="00000000">
        <w:rPr>
          <w:b w:val="1"/>
          <w:rtl w:val="0"/>
        </w:rPr>
        <w:t xml:space="preserve">UA Flow</w:t>
      </w:r>
      <w:r w:rsidDel="00000000" w:rsidR="00000000" w:rsidRPr="00000000">
        <w:rPr>
          <w:rtl w:val="0"/>
        </w:rPr>
        <w:t xml:space="preserve">, que proporciona una respuesta inmediata y un agarre excepcional, permitiendo cortes más rápidos y mayor estabilidad. Su estructura de malla transpirable con revestimientos duraderos optimiza la comodidad y el control en cada movimiento, mientras que la suela exterior de alta tracción potencia la agilidad y el dominio del juego.</w:t>
      </w:r>
    </w:p>
    <w:p w:rsidR="00000000" w:rsidDel="00000000" w:rsidP="00000000" w:rsidRDefault="00000000" w:rsidRPr="00000000" w14:paraId="00000008">
      <w:pPr>
        <w:spacing w:after="240" w:before="240" w:line="240" w:lineRule="auto"/>
        <w:jc w:val="both"/>
        <w:rPr/>
      </w:pPr>
      <w:r w:rsidDel="00000000" w:rsidR="00000000" w:rsidRPr="00000000">
        <w:rPr>
          <w:rtl w:val="0"/>
        </w:rPr>
        <w:t xml:space="preserve">Más que un calzado, el </w:t>
      </w:r>
      <w:r w:rsidDel="00000000" w:rsidR="00000000" w:rsidRPr="00000000">
        <w:rPr>
          <w:b w:val="1"/>
          <w:rtl w:val="0"/>
        </w:rPr>
        <w:t xml:space="preserve">Curry 12 "What The Bay"</w:t>
      </w:r>
      <w:r w:rsidDel="00000000" w:rsidR="00000000" w:rsidRPr="00000000">
        <w:rPr>
          <w:rtl w:val="0"/>
        </w:rPr>
        <w:t xml:space="preserve"> es una declaración de identidad y pasión por el baloncesto. Con este lanzamiento, Under Armour reafirma su compromiso de llevar el rendimiento deportivo al siguiente nivel, al tiempo que honra la cultura y la comunidad que han sido clave en la evolución de uno de los jugadores más influyentes de la NBA.</w:t>
      </w:r>
    </w:p>
    <w:p w:rsidR="00000000" w:rsidDel="00000000" w:rsidP="00000000" w:rsidRDefault="00000000" w:rsidRPr="00000000" w14:paraId="00000009">
      <w:pPr>
        <w:spacing w:after="240" w:before="240" w:line="240" w:lineRule="auto"/>
        <w:jc w:val="center"/>
        <w:rPr/>
      </w:pPr>
      <w:r w:rsidDel="00000000" w:rsidR="00000000" w:rsidRPr="00000000">
        <w:rPr/>
        <w:drawing>
          <wp:inline distB="114300" distT="114300" distL="114300" distR="114300">
            <wp:extent cx="1928813" cy="1371315"/>
            <wp:effectExtent b="0" l="0" r="0" t="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1928813" cy="1371315"/>
                    </a:xfrm>
                    <a:prstGeom prst="rect"/>
                    <a:ln/>
                  </pic:spPr>
                </pic:pic>
              </a:graphicData>
            </a:graphic>
          </wp:inline>
        </w:drawing>
      </w:r>
      <w:r w:rsidDel="00000000" w:rsidR="00000000" w:rsidRPr="00000000">
        <w:rPr/>
        <w:drawing>
          <wp:inline distB="114300" distT="114300" distL="114300" distR="114300">
            <wp:extent cx="1958424" cy="1380824"/>
            <wp:effectExtent b="0" l="0" r="0" t="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1958424" cy="1380824"/>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pStyle w:val="Heading3"/>
        <w:keepNext w:val="0"/>
        <w:keepLines w:val="0"/>
        <w:spacing w:before="280" w:line="240" w:lineRule="auto"/>
        <w:jc w:val="both"/>
        <w:rPr>
          <w:b w:val="1"/>
          <w:color w:val="000000"/>
          <w:sz w:val="26"/>
          <w:szCs w:val="26"/>
        </w:rPr>
      </w:pPr>
      <w:bookmarkStart w:colFirst="0" w:colLast="0" w:name="_5z9fsce1wiqr" w:id="2"/>
      <w:bookmarkEnd w:id="2"/>
      <w:r w:rsidDel="00000000" w:rsidR="00000000" w:rsidRPr="00000000">
        <w:rPr>
          <w:b w:val="1"/>
          <w:color w:val="000000"/>
          <w:sz w:val="26"/>
          <w:szCs w:val="26"/>
          <w:rtl w:val="0"/>
        </w:rPr>
        <w:t xml:space="preserve">DETALLES DE UA CURRY 12 "WHAT THE BAY"</w:t>
      </w:r>
    </w:p>
    <w:p w:rsidR="00000000" w:rsidDel="00000000" w:rsidP="00000000" w:rsidRDefault="00000000" w:rsidRPr="00000000" w14:paraId="0000000B">
      <w:pPr>
        <w:numPr>
          <w:ilvl w:val="0"/>
          <w:numId w:val="1"/>
        </w:numPr>
        <w:spacing w:after="0" w:afterAutospacing="0" w:before="240" w:line="240" w:lineRule="auto"/>
        <w:ind w:left="720" w:hanging="360"/>
        <w:jc w:val="both"/>
      </w:pPr>
      <w:r w:rsidDel="00000000" w:rsidR="00000000" w:rsidRPr="00000000">
        <w:rPr>
          <w:b w:val="1"/>
          <w:rtl w:val="0"/>
        </w:rPr>
        <w:t xml:space="preserve">Parte superior de malla transpirable</w:t>
      </w:r>
      <w:r w:rsidDel="00000000" w:rsidR="00000000" w:rsidRPr="00000000">
        <w:rPr>
          <w:rtl w:val="0"/>
        </w:rPr>
        <w:t xml:space="preserve"> con revestimientos duraderos para mayor comodidad y control en movimientos dinámicos.</w:t>
      </w:r>
    </w:p>
    <w:p w:rsidR="00000000" w:rsidDel="00000000" w:rsidP="00000000" w:rsidRDefault="00000000" w:rsidRPr="00000000" w14:paraId="0000000C">
      <w:pPr>
        <w:numPr>
          <w:ilvl w:val="0"/>
          <w:numId w:val="1"/>
        </w:numPr>
        <w:spacing w:after="0" w:afterAutospacing="0" w:before="0" w:beforeAutospacing="0" w:line="240" w:lineRule="auto"/>
        <w:ind w:left="720" w:hanging="360"/>
        <w:jc w:val="both"/>
      </w:pPr>
      <w:r w:rsidDel="00000000" w:rsidR="00000000" w:rsidRPr="00000000">
        <w:rPr>
          <w:b w:val="1"/>
          <w:rtl w:val="0"/>
        </w:rPr>
        <w:t xml:space="preserve">Lengüeta moldeada</w:t>
      </w:r>
      <w:r w:rsidDel="00000000" w:rsidR="00000000" w:rsidRPr="00000000">
        <w:rPr>
          <w:rtl w:val="0"/>
        </w:rPr>
        <w:t xml:space="preserve"> que brinda un ajuste ergonómico y mayor confort.</w:t>
      </w:r>
    </w:p>
    <w:p w:rsidR="00000000" w:rsidDel="00000000" w:rsidP="00000000" w:rsidRDefault="00000000" w:rsidRPr="00000000" w14:paraId="0000000D">
      <w:pPr>
        <w:numPr>
          <w:ilvl w:val="0"/>
          <w:numId w:val="1"/>
        </w:numPr>
        <w:spacing w:after="0" w:afterAutospacing="0" w:before="0" w:beforeAutospacing="0" w:line="240" w:lineRule="auto"/>
        <w:ind w:left="720" w:hanging="360"/>
        <w:jc w:val="both"/>
      </w:pPr>
      <w:r w:rsidDel="00000000" w:rsidR="00000000" w:rsidRPr="00000000">
        <w:rPr>
          <w:b w:val="1"/>
          <w:rtl w:val="0"/>
        </w:rPr>
        <w:t xml:space="preserve">Talón en TPU moldeado en 3D</w:t>
      </w:r>
      <w:r w:rsidDel="00000000" w:rsidR="00000000" w:rsidRPr="00000000">
        <w:rPr>
          <w:rtl w:val="0"/>
        </w:rPr>
        <w:t xml:space="preserve">, ofreciendo soporte y estabilidad superior.</w:t>
      </w:r>
    </w:p>
    <w:p w:rsidR="00000000" w:rsidDel="00000000" w:rsidP="00000000" w:rsidRDefault="00000000" w:rsidRPr="00000000" w14:paraId="0000000E">
      <w:pPr>
        <w:numPr>
          <w:ilvl w:val="0"/>
          <w:numId w:val="1"/>
        </w:numPr>
        <w:spacing w:after="0" w:afterAutospacing="0" w:before="0" w:beforeAutospacing="0" w:line="240" w:lineRule="auto"/>
        <w:ind w:left="720" w:hanging="360"/>
        <w:jc w:val="both"/>
      </w:pPr>
      <w:r w:rsidDel="00000000" w:rsidR="00000000" w:rsidRPr="00000000">
        <w:rPr>
          <w:b w:val="1"/>
          <w:rtl w:val="0"/>
        </w:rPr>
        <w:t xml:space="preserve">Plantilla de espuma de celda abierta troquelada</w:t>
      </w:r>
      <w:r w:rsidDel="00000000" w:rsidR="00000000" w:rsidRPr="00000000">
        <w:rPr>
          <w:rtl w:val="0"/>
        </w:rPr>
        <w:t xml:space="preserve">, que mejora la sensación de amortiguación y ajuste.</w:t>
      </w:r>
    </w:p>
    <w:p w:rsidR="00000000" w:rsidDel="00000000" w:rsidP="00000000" w:rsidRDefault="00000000" w:rsidRPr="00000000" w14:paraId="0000000F">
      <w:pPr>
        <w:numPr>
          <w:ilvl w:val="0"/>
          <w:numId w:val="1"/>
        </w:numPr>
        <w:spacing w:after="0" w:afterAutospacing="0" w:before="0" w:beforeAutospacing="0" w:line="240" w:lineRule="auto"/>
        <w:ind w:left="720" w:hanging="360"/>
        <w:jc w:val="both"/>
      </w:pPr>
      <w:r w:rsidDel="00000000" w:rsidR="00000000" w:rsidRPr="00000000">
        <w:rPr>
          <w:b w:val="1"/>
          <w:rtl w:val="0"/>
        </w:rPr>
        <w:t xml:space="preserve">Placa segmentada en el antepié</w:t>
      </w:r>
      <w:r w:rsidDel="00000000" w:rsidR="00000000" w:rsidRPr="00000000">
        <w:rPr>
          <w:rtl w:val="0"/>
        </w:rPr>
        <w:t xml:space="preserve">, combinada con una pieza en el mediopié para estabilidad mejorada en la cancha.</w:t>
      </w:r>
    </w:p>
    <w:p w:rsidR="00000000" w:rsidDel="00000000" w:rsidP="00000000" w:rsidRDefault="00000000" w:rsidRPr="00000000" w14:paraId="00000010">
      <w:pPr>
        <w:numPr>
          <w:ilvl w:val="0"/>
          <w:numId w:val="1"/>
        </w:numPr>
        <w:spacing w:after="0" w:afterAutospacing="0" w:before="0" w:beforeAutospacing="0" w:line="240" w:lineRule="auto"/>
        <w:ind w:left="720" w:hanging="360"/>
        <w:jc w:val="both"/>
      </w:pPr>
      <w:r w:rsidDel="00000000" w:rsidR="00000000" w:rsidRPr="00000000">
        <w:rPr>
          <w:b w:val="1"/>
          <w:rtl w:val="0"/>
        </w:rPr>
        <w:t xml:space="preserve">Amortiguación UA Flow de doble densidad</w:t>
      </w:r>
      <w:r w:rsidDel="00000000" w:rsidR="00000000" w:rsidRPr="00000000">
        <w:rPr>
          <w:rtl w:val="0"/>
        </w:rPr>
        <w:t xml:space="preserve">, proporcionando una sensación ultraligera, gran rebote y tracción superior.</w:t>
      </w:r>
    </w:p>
    <w:p w:rsidR="00000000" w:rsidDel="00000000" w:rsidP="00000000" w:rsidRDefault="00000000" w:rsidRPr="00000000" w14:paraId="00000011">
      <w:pPr>
        <w:numPr>
          <w:ilvl w:val="0"/>
          <w:numId w:val="1"/>
        </w:numPr>
        <w:spacing w:after="240" w:before="0" w:beforeAutospacing="0" w:line="240" w:lineRule="auto"/>
        <w:ind w:left="720" w:hanging="360"/>
        <w:jc w:val="both"/>
      </w:pPr>
      <w:r w:rsidDel="00000000" w:rsidR="00000000" w:rsidRPr="00000000">
        <w:rPr>
          <w:b w:val="1"/>
          <w:rtl w:val="0"/>
        </w:rPr>
        <w:t xml:space="preserve">Suela exterior UA Flow</w:t>
      </w:r>
      <w:r w:rsidDel="00000000" w:rsidR="00000000" w:rsidRPr="00000000">
        <w:rPr>
          <w:rtl w:val="0"/>
        </w:rPr>
        <w:t xml:space="preserve">, diseñada para mejorar la sensación en la cancha y permitir cambios de velocidad explosivos con una tracción sin precedentes.</w:t>
      </w:r>
    </w:p>
    <w:p w:rsidR="00000000" w:rsidDel="00000000" w:rsidP="00000000" w:rsidRDefault="00000000" w:rsidRPr="00000000" w14:paraId="00000012">
      <w:pPr>
        <w:spacing w:after="240" w:before="240" w:line="240" w:lineRule="auto"/>
        <w:ind w:left="720" w:firstLine="0"/>
        <w:jc w:val="both"/>
        <w:rPr/>
      </w:pPr>
      <w:r w:rsidDel="00000000" w:rsidR="00000000" w:rsidRPr="00000000">
        <w:rPr>
          <w:rtl w:val="0"/>
        </w:rPr>
      </w:r>
    </w:p>
    <w:p w:rsidR="00000000" w:rsidDel="00000000" w:rsidP="00000000" w:rsidRDefault="00000000" w:rsidRPr="00000000" w14:paraId="00000013">
      <w:pPr>
        <w:spacing w:line="360" w:lineRule="auto"/>
        <w:jc w:val="both"/>
        <w:rPr>
          <w:b w:val="1"/>
          <w:sz w:val="18"/>
          <w:szCs w:val="18"/>
        </w:rPr>
      </w:pPr>
      <w:r w:rsidDel="00000000" w:rsidR="00000000" w:rsidRPr="00000000">
        <w:rPr>
          <w:b w:val="1"/>
          <w:sz w:val="18"/>
          <w:szCs w:val="18"/>
          <w:rtl w:val="0"/>
        </w:rPr>
        <w:t xml:space="preserve">Acerca de la línea Curry de Under Armour</w:t>
      </w:r>
    </w:p>
    <w:p w:rsidR="00000000" w:rsidDel="00000000" w:rsidP="00000000" w:rsidRDefault="00000000" w:rsidRPr="00000000" w14:paraId="00000014">
      <w:pPr>
        <w:spacing w:after="240" w:before="240" w:line="360" w:lineRule="auto"/>
        <w:jc w:val="both"/>
        <w:rPr>
          <w:sz w:val="18"/>
          <w:szCs w:val="18"/>
        </w:rPr>
      </w:pPr>
      <w:r w:rsidDel="00000000" w:rsidR="00000000" w:rsidRPr="00000000">
        <w:rPr>
          <w:sz w:val="18"/>
          <w:szCs w:val="18"/>
          <w:rtl w:val="0"/>
        </w:rPr>
        <w:t xml:space="preserve">Under Armour Curry es una línea exclusiva de calzado de baloncesto y ropa deportiva respaldada por la superestrella de la NBA, Stephen Curry. Desde su lanzamiento, la línea Curry ha redefinido constantemente los límites del rendimiento y el diseño para satisfacer las necesidades tanto de atletas profesionales como de aficionados. La influencia de Stephen Curry en los diseños es evidente, desde las suelas exteriores de alta tracción, diseñadas para realizar cortes rápidos y movimientos ágiles en la cancha, hasta los materiales ligeros y transpirables que garantizan el máximo confort durante el juego de alta intensidad. </w:t>
      </w:r>
    </w:p>
    <w:p w:rsidR="00000000" w:rsidDel="00000000" w:rsidP="00000000" w:rsidRDefault="00000000" w:rsidRPr="00000000" w14:paraId="00000015">
      <w:pPr>
        <w:spacing w:after="240" w:before="240" w:line="360" w:lineRule="auto"/>
        <w:jc w:val="both"/>
        <w:rPr>
          <w:sz w:val="18"/>
          <w:szCs w:val="18"/>
        </w:rPr>
      </w:pPr>
      <w:r w:rsidDel="00000000" w:rsidR="00000000" w:rsidRPr="00000000">
        <w:rPr>
          <w:sz w:val="18"/>
          <w:szCs w:val="18"/>
          <w:rtl w:val="0"/>
        </w:rPr>
        <w:t xml:space="preserve">Cada versión de la línea Curry incorpora tecnologías innovadoras, como la amortiguación UA Flow para un óptimo retorno de energía, cambios de velocidad explosivos y silenciosos ya que la tecnología UA Flow elimina el ruido de la goma de las zapatillas convencionales en las canchas, lo que las convierte en una opción favorita entre los jugadores de baloncesto que buscan una ventaja en su juego.</w:t>
      </w:r>
    </w:p>
    <w:p w:rsidR="00000000" w:rsidDel="00000000" w:rsidP="00000000" w:rsidRDefault="00000000" w:rsidRPr="00000000" w14:paraId="00000016">
      <w:pPr>
        <w:spacing w:line="360" w:lineRule="auto"/>
        <w:jc w:val="center"/>
        <w:rPr>
          <w:b w:val="1"/>
        </w:rPr>
      </w:pPr>
      <w:r w:rsidDel="00000000" w:rsidR="00000000" w:rsidRPr="00000000">
        <w:rPr>
          <w:b w:val="1"/>
          <w:rtl w:val="0"/>
        </w:rPr>
        <w:t xml:space="preserve">…</w:t>
      </w:r>
    </w:p>
    <w:p w:rsidR="00000000" w:rsidDel="00000000" w:rsidP="00000000" w:rsidRDefault="00000000" w:rsidRPr="00000000" w14:paraId="00000017">
      <w:pPr>
        <w:spacing w:line="360" w:lineRule="auto"/>
        <w:jc w:val="center"/>
        <w:rPr/>
      </w:pPr>
      <w:r w:rsidDel="00000000" w:rsidR="00000000" w:rsidRPr="00000000">
        <w:rPr>
          <w:rtl w:val="0"/>
        </w:rPr>
      </w:r>
    </w:p>
    <w:p w:rsidR="00000000" w:rsidDel="00000000" w:rsidP="00000000" w:rsidRDefault="00000000" w:rsidRPr="00000000" w14:paraId="00000018">
      <w:pPr>
        <w:spacing w:line="240" w:lineRule="auto"/>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Contacto:</w:t>
      </w:r>
    </w:p>
    <w:p w:rsidR="00000000" w:rsidDel="00000000" w:rsidP="00000000" w:rsidRDefault="00000000" w:rsidRPr="00000000" w14:paraId="00000019">
      <w:pPr>
        <w:spacing w:line="240" w:lineRule="auto"/>
        <w:rPr>
          <w:rFonts w:ascii="Montserrat" w:cs="Montserrat" w:eastAsia="Montserrat" w:hAnsi="Montserrat"/>
          <w:sz w:val="18"/>
          <w:szCs w:val="18"/>
        </w:rPr>
      </w:pPr>
      <w:r w:rsidDel="00000000" w:rsidR="00000000" w:rsidRPr="00000000">
        <w:rPr>
          <w:rtl w:val="0"/>
        </w:rPr>
      </w:r>
    </w:p>
    <w:p w:rsidR="00000000" w:rsidDel="00000000" w:rsidP="00000000" w:rsidRDefault="00000000" w:rsidRPr="00000000" w14:paraId="0000001A">
      <w:pPr>
        <w:spacing w:line="240" w:lineRule="auto"/>
        <w:rPr>
          <w:rFonts w:ascii="Montserrat" w:cs="Montserrat" w:eastAsia="Montserrat" w:hAnsi="Montserrat"/>
          <w:sz w:val="18"/>
          <w:szCs w:val="18"/>
        </w:rPr>
      </w:pPr>
      <w:hyperlink r:id="rId10">
        <w:r w:rsidDel="00000000" w:rsidR="00000000" w:rsidRPr="00000000">
          <w:rPr>
            <w:rFonts w:ascii="Montserrat" w:cs="Montserrat" w:eastAsia="Montserrat" w:hAnsi="Montserrat"/>
            <w:color w:val="0000ee"/>
            <w:sz w:val="18"/>
            <w:szCs w:val="18"/>
            <w:u w:val="single"/>
            <w:rtl w:val="0"/>
          </w:rPr>
          <w:t xml:space="preserve">Andrea Topete</w:t>
        </w:r>
      </w:hyperlink>
      <w:r w:rsidDel="00000000" w:rsidR="00000000" w:rsidRPr="00000000">
        <w:rPr>
          <w:rtl w:val="0"/>
        </w:rPr>
      </w:r>
    </w:p>
    <w:p w:rsidR="00000000" w:rsidDel="00000000" w:rsidP="00000000" w:rsidRDefault="00000000" w:rsidRPr="00000000" w14:paraId="0000001B">
      <w:pPr>
        <w:spacing w:after="240" w:before="240" w:line="240" w:lineRule="auto"/>
        <w:jc w:val="both"/>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55 4337 3645</w:t>
      </w:r>
    </w:p>
    <w:p w:rsidR="00000000" w:rsidDel="00000000" w:rsidP="00000000" w:rsidRDefault="00000000" w:rsidRPr="00000000" w14:paraId="0000001C">
      <w:pPr>
        <w:spacing w:after="240" w:before="240" w:line="240" w:lineRule="auto"/>
        <w:jc w:val="both"/>
        <w:rPr>
          <w:rFonts w:ascii="Montserrat" w:cs="Montserrat" w:eastAsia="Montserrat" w:hAnsi="Montserrat"/>
          <w:sz w:val="18"/>
          <w:szCs w:val="18"/>
        </w:rPr>
      </w:pPr>
      <w:hyperlink r:id="rId11">
        <w:r w:rsidDel="00000000" w:rsidR="00000000" w:rsidRPr="00000000">
          <w:rPr>
            <w:rFonts w:ascii="Montserrat" w:cs="Montserrat" w:eastAsia="Montserrat" w:hAnsi="Montserrat"/>
            <w:color w:val="0000ee"/>
            <w:sz w:val="18"/>
            <w:szCs w:val="18"/>
            <w:u w:val="single"/>
            <w:rtl w:val="0"/>
          </w:rPr>
          <w:t xml:space="preserve">Regina Páez</w:t>
        </w:r>
      </w:hyperlink>
      <w:r w:rsidDel="00000000" w:rsidR="00000000" w:rsidRPr="00000000">
        <w:rPr>
          <w:rtl w:val="0"/>
        </w:rPr>
      </w:r>
    </w:p>
    <w:p w:rsidR="00000000" w:rsidDel="00000000" w:rsidP="00000000" w:rsidRDefault="00000000" w:rsidRPr="00000000" w14:paraId="0000001D">
      <w:pPr>
        <w:spacing w:after="240" w:before="240" w:line="240" w:lineRule="auto"/>
        <w:jc w:val="both"/>
        <w:rPr>
          <w:rFonts w:ascii="Montserrat" w:cs="Montserrat" w:eastAsia="Montserrat" w:hAnsi="Montserrat"/>
          <w:sz w:val="18"/>
          <w:szCs w:val="18"/>
        </w:rPr>
      </w:pPr>
      <w:r w:rsidDel="00000000" w:rsidR="00000000" w:rsidRPr="00000000">
        <w:rPr>
          <w:rFonts w:ascii="Montserrat" w:cs="Montserrat" w:eastAsia="Montserrat" w:hAnsi="Montserrat"/>
          <w:sz w:val="18"/>
          <w:szCs w:val="18"/>
          <w:rtl w:val="0"/>
        </w:rPr>
        <w:t xml:space="preserve">55 2323 8283</w:t>
      </w:r>
    </w:p>
    <w:p w:rsidR="00000000" w:rsidDel="00000000" w:rsidP="00000000" w:rsidRDefault="00000000" w:rsidRPr="00000000" w14:paraId="0000001E">
      <w:pPr>
        <w:spacing w:after="240" w:before="240" w:line="240" w:lineRule="auto"/>
        <w:jc w:val="both"/>
        <w:rPr>
          <w:sz w:val="18"/>
          <w:szCs w:val="18"/>
        </w:rPr>
      </w:pPr>
      <w:r w:rsidDel="00000000" w:rsidR="00000000" w:rsidRPr="00000000">
        <w:rPr>
          <w:rtl w:val="0"/>
        </w:rPr>
      </w:r>
    </w:p>
    <w:p w:rsidR="00000000" w:rsidDel="00000000" w:rsidP="00000000" w:rsidRDefault="00000000" w:rsidRPr="00000000" w14:paraId="0000001F">
      <w:pPr>
        <w:spacing w:line="240" w:lineRule="auto"/>
        <w:rPr>
          <w:sz w:val="18"/>
          <w:szCs w:val="18"/>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mailto:rpaez@bandofinsiders.com" TargetMode="External"/><Relationship Id="rId10" Type="http://schemas.openxmlformats.org/officeDocument/2006/relationships/hyperlink" Target="mailto:atopete@bandofinsiders.com" TargetMode="Externa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